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3D26" w14:textId="77777777" w:rsidR="00050075" w:rsidRPr="006E2145" w:rsidRDefault="00050075">
      <w:r w:rsidRPr="006E2145">
        <w:t xml:space="preserve"> </w:t>
      </w:r>
      <w:r w:rsidR="006338AA" w:rsidRPr="006E2145">
        <w:t xml:space="preserve">            </w:t>
      </w:r>
    </w:p>
    <w:p w14:paraId="239B3D27" w14:textId="51C825C1" w:rsidR="00050075" w:rsidRPr="0064551F" w:rsidRDefault="00050075" w:rsidP="00812FFB">
      <w:pPr>
        <w:framePr w:hSpace="180" w:wrap="around" w:vAnchor="text" w:hAnchor="page" w:x="5881" w:y="1"/>
      </w:pPr>
    </w:p>
    <w:p w14:paraId="239B3D2B" w14:textId="065D47D1" w:rsidR="00050075" w:rsidRPr="0064551F" w:rsidRDefault="00050075" w:rsidP="0064551F">
      <w:pPr>
        <w:jc w:val="both"/>
      </w:pPr>
      <w:r w:rsidRPr="006E2145">
        <w:t xml:space="preserve">                                                                                                                    </w:t>
      </w:r>
      <w:r w:rsidRPr="006E2145">
        <w:tab/>
      </w:r>
      <w:r w:rsidRPr="006E2145">
        <w:tab/>
        <w:t>Projektas</w:t>
      </w:r>
    </w:p>
    <w:p w14:paraId="239B3D2C" w14:textId="77777777" w:rsidR="00050075" w:rsidRPr="006E2145" w:rsidRDefault="00050075" w:rsidP="002E7AE3">
      <w:pPr>
        <w:jc w:val="center"/>
        <w:rPr>
          <w:b/>
        </w:rPr>
      </w:pPr>
    </w:p>
    <w:p w14:paraId="239B3D2D" w14:textId="77777777" w:rsidR="00050075" w:rsidRPr="006E2145" w:rsidRDefault="00050075" w:rsidP="007A7472">
      <w:pPr>
        <w:jc w:val="center"/>
        <w:rPr>
          <w:b/>
          <w:sz w:val="26"/>
        </w:rPr>
      </w:pPr>
      <w:r w:rsidRPr="006E2145">
        <w:rPr>
          <w:b/>
          <w:sz w:val="26"/>
        </w:rPr>
        <w:t>ROKIŠKIO RAJONO SAVIVALDYBĖS TARYBA</w:t>
      </w:r>
    </w:p>
    <w:p w14:paraId="239B3D2E" w14:textId="77777777" w:rsidR="00E50E78" w:rsidRPr="006E2145" w:rsidRDefault="00E50E78" w:rsidP="007A7472">
      <w:pPr>
        <w:jc w:val="center"/>
        <w:rPr>
          <w:b/>
          <w:sz w:val="26"/>
        </w:rPr>
      </w:pPr>
    </w:p>
    <w:p w14:paraId="239B3D2F" w14:textId="77777777" w:rsidR="00050075" w:rsidRPr="006E2145" w:rsidRDefault="00050075" w:rsidP="00E50E78">
      <w:pPr>
        <w:jc w:val="center"/>
        <w:rPr>
          <w:b/>
          <w:sz w:val="26"/>
        </w:rPr>
      </w:pPr>
      <w:r w:rsidRPr="006E2145">
        <w:rPr>
          <w:b/>
          <w:sz w:val="26"/>
        </w:rPr>
        <w:t>S P R E N D I M AS</w:t>
      </w:r>
    </w:p>
    <w:p w14:paraId="239B3D30" w14:textId="77777777" w:rsidR="00050075" w:rsidRPr="006E2145" w:rsidRDefault="00050075" w:rsidP="00986BE5">
      <w:pPr>
        <w:pStyle w:val="Antrats"/>
        <w:jc w:val="center"/>
        <w:rPr>
          <w:b/>
          <w:sz w:val="24"/>
          <w:szCs w:val="24"/>
          <w:lang w:val="lt-LT"/>
        </w:rPr>
      </w:pPr>
      <w:bookmarkStart w:id="0" w:name="_GoBack"/>
      <w:r w:rsidRPr="006E2145">
        <w:rPr>
          <w:b/>
          <w:sz w:val="24"/>
          <w:szCs w:val="24"/>
          <w:lang w:val="lt-LT"/>
        </w:rPr>
        <w:t xml:space="preserve">DĖL </w:t>
      </w:r>
      <w:r w:rsidR="00AA5E82" w:rsidRPr="006E2145">
        <w:rPr>
          <w:b/>
          <w:sz w:val="24"/>
          <w:szCs w:val="24"/>
          <w:lang w:val="lt-LT"/>
        </w:rPr>
        <w:t>ASFALTUOTINŲ ŽVYRKELIŲ PER GYVENVIETES 2017-2020 M. PRIORITETINĖS EILĖS</w:t>
      </w:r>
      <w:r w:rsidRPr="006E2145">
        <w:rPr>
          <w:b/>
          <w:sz w:val="24"/>
          <w:szCs w:val="24"/>
          <w:lang w:val="lt-LT"/>
        </w:rPr>
        <w:t xml:space="preserve"> PATVIRTINIMO</w:t>
      </w:r>
    </w:p>
    <w:bookmarkEnd w:id="0"/>
    <w:p w14:paraId="239B3D31" w14:textId="77777777" w:rsidR="00050075" w:rsidRPr="006E2145" w:rsidRDefault="00050075" w:rsidP="008C66F4">
      <w:pPr>
        <w:pStyle w:val="Antrats"/>
        <w:jc w:val="center"/>
        <w:rPr>
          <w:lang w:val="lt-LT"/>
        </w:rPr>
      </w:pPr>
    </w:p>
    <w:p w14:paraId="239B3D32" w14:textId="77777777" w:rsidR="00050075" w:rsidRPr="006E2145" w:rsidRDefault="00B95255" w:rsidP="008C66F4">
      <w:pPr>
        <w:ind w:left="-567"/>
        <w:jc w:val="center"/>
        <w:outlineLvl w:val="0"/>
      </w:pPr>
      <w:r w:rsidRPr="006E2145">
        <w:t>2017</w:t>
      </w:r>
      <w:r w:rsidR="00050075" w:rsidRPr="006E2145">
        <w:t xml:space="preserve"> m. </w:t>
      </w:r>
      <w:r w:rsidR="00AA5E82" w:rsidRPr="006E2145">
        <w:t>balandžio</w:t>
      </w:r>
      <w:r w:rsidRPr="006E2145">
        <w:t xml:space="preserve"> </w:t>
      </w:r>
      <w:r w:rsidR="00AA5E82" w:rsidRPr="006E2145">
        <w:t>2</w:t>
      </w:r>
      <w:r w:rsidR="004D2D79" w:rsidRPr="006E2145">
        <w:t>8</w:t>
      </w:r>
      <w:r w:rsidR="00050075" w:rsidRPr="006E2145">
        <w:t xml:space="preserve"> d. Nr.</w:t>
      </w:r>
      <w:r w:rsidR="00E50E78" w:rsidRPr="006E2145">
        <w:t xml:space="preserve"> TS-</w:t>
      </w:r>
    </w:p>
    <w:p w14:paraId="239B3D33" w14:textId="77777777" w:rsidR="00050075" w:rsidRPr="006E2145" w:rsidRDefault="00050075" w:rsidP="008C66F4">
      <w:pPr>
        <w:jc w:val="center"/>
      </w:pPr>
      <w:r w:rsidRPr="006E2145">
        <w:t>Rokiškis</w:t>
      </w:r>
    </w:p>
    <w:p w14:paraId="239B3D34" w14:textId="77777777" w:rsidR="00E50E78" w:rsidRPr="006E2145" w:rsidRDefault="00E50E78" w:rsidP="008C66F4">
      <w:pPr>
        <w:jc w:val="center"/>
      </w:pPr>
    </w:p>
    <w:p w14:paraId="239B3D35" w14:textId="77777777" w:rsidR="00050075" w:rsidRPr="006E2145" w:rsidRDefault="00050075" w:rsidP="008C66F4">
      <w:pPr>
        <w:jc w:val="center"/>
      </w:pPr>
    </w:p>
    <w:p w14:paraId="4398C337" w14:textId="77777777" w:rsidR="0064551F" w:rsidRDefault="005C5239" w:rsidP="00E50E78">
      <w:pPr>
        <w:tabs>
          <w:tab w:val="left" w:pos="720"/>
        </w:tabs>
        <w:jc w:val="both"/>
      </w:pPr>
      <w:r w:rsidRPr="006E2145">
        <w:tab/>
        <w:t>Vadovaudamasi</w:t>
      </w:r>
      <w:r w:rsidR="00DE643D">
        <w:t xml:space="preserve"> Lietuvos Respublikos vietos savivaldos įstatymo 16 straipsnio 4 dalimi, </w:t>
      </w:r>
      <w:r w:rsidR="00050075" w:rsidRPr="006E2145">
        <w:t xml:space="preserve"> Lietuvos </w:t>
      </w:r>
      <w:r w:rsidR="004D2D79" w:rsidRPr="006E2145">
        <w:t>automobilių kelių direkcijos prie Susisiekimo ministerijos 2017 m. kovo 29 d. raštu Nr. (6.104 E) 2E-423 „Dėl asfaltuotinų ruožų atrankos</w:t>
      </w:r>
      <w:r w:rsidR="00B61DFB" w:rsidRPr="006E2145">
        <w:t>“</w:t>
      </w:r>
      <w:r w:rsidR="00E50E78" w:rsidRPr="006E2145">
        <w:t xml:space="preserve">, </w:t>
      </w:r>
      <w:r w:rsidR="00050075" w:rsidRPr="006E2145">
        <w:t xml:space="preserve">Rokiškio rajono savivaldybės taryba </w:t>
      </w:r>
    </w:p>
    <w:p w14:paraId="239B3D36" w14:textId="6A1C6BFC" w:rsidR="00050075" w:rsidRPr="006E2145" w:rsidRDefault="0064551F" w:rsidP="00E50E78">
      <w:pPr>
        <w:tabs>
          <w:tab w:val="left" w:pos="720"/>
        </w:tabs>
        <w:jc w:val="both"/>
      </w:pPr>
      <w:r>
        <w:tab/>
      </w:r>
      <w:r w:rsidR="00050075" w:rsidRPr="006E2145">
        <w:t>n u s p r e n d ž i a:</w:t>
      </w:r>
    </w:p>
    <w:p w14:paraId="239B3D37" w14:textId="45B72395" w:rsidR="00050075" w:rsidRPr="006E2145" w:rsidRDefault="00050075" w:rsidP="00756803">
      <w:pPr>
        <w:ind w:firstLine="720"/>
        <w:jc w:val="both"/>
      </w:pPr>
      <w:r w:rsidRPr="006E2145">
        <w:t xml:space="preserve">Patvirtinti </w:t>
      </w:r>
      <w:r w:rsidR="004D2D79" w:rsidRPr="006E2145">
        <w:t>asfaltuotinų žvyrkelių per gyvenvietes 2017</w:t>
      </w:r>
      <w:r w:rsidR="00573391">
        <w:t>–</w:t>
      </w:r>
      <w:r w:rsidR="004D2D79" w:rsidRPr="006E2145">
        <w:t>2020 m. prioritetinę eilę</w:t>
      </w:r>
      <w:r w:rsidRPr="006E2145">
        <w:t xml:space="preserve"> (pridedama).</w:t>
      </w:r>
    </w:p>
    <w:p w14:paraId="239B3D38" w14:textId="77777777" w:rsidR="00050075" w:rsidRPr="006E2145" w:rsidRDefault="00530539" w:rsidP="00E50E78">
      <w:pPr>
        <w:ind w:firstLine="720"/>
        <w:jc w:val="both"/>
      </w:pPr>
      <w:r w:rsidRPr="006E2145">
        <w:t>Šis sprendimas gali būti skundžiamas Lietuvos Respublikos administracinių bylų teisenos įstatymo nustatyta tvarka.</w:t>
      </w:r>
    </w:p>
    <w:p w14:paraId="239B3D39" w14:textId="77777777" w:rsidR="00D74466" w:rsidRPr="006E2145" w:rsidRDefault="00D74466" w:rsidP="00D74466">
      <w:pPr>
        <w:jc w:val="both"/>
      </w:pPr>
    </w:p>
    <w:p w14:paraId="239B3D3A" w14:textId="77777777" w:rsidR="004D2D79" w:rsidRPr="006E2145" w:rsidRDefault="004D2D79" w:rsidP="00D74466">
      <w:pPr>
        <w:jc w:val="both"/>
      </w:pPr>
    </w:p>
    <w:p w14:paraId="239B3D3B" w14:textId="77777777" w:rsidR="00B61DFB" w:rsidRPr="006E2145" w:rsidRDefault="00B61DFB" w:rsidP="00D74466">
      <w:pPr>
        <w:jc w:val="both"/>
      </w:pPr>
    </w:p>
    <w:p w14:paraId="239B3D3C" w14:textId="77777777" w:rsidR="00050075" w:rsidRPr="006E2145" w:rsidRDefault="00050075" w:rsidP="00D74466">
      <w:pPr>
        <w:jc w:val="both"/>
      </w:pPr>
      <w:r w:rsidRPr="006E2145">
        <w:t>Savivaldybės meras</w:t>
      </w:r>
      <w:r w:rsidRPr="006E2145">
        <w:tab/>
      </w:r>
      <w:r w:rsidRPr="006E2145">
        <w:tab/>
      </w:r>
      <w:r w:rsidRPr="006E2145">
        <w:tab/>
      </w:r>
      <w:r w:rsidRPr="006E2145">
        <w:tab/>
      </w:r>
      <w:r w:rsidRPr="006E2145">
        <w:tab/>
        <w:t>Antanas Vagonis</w:t>
      </w:r>
    </w:p>
    <w:p w14:paraId="239B3D3D" w14:textId="77777777" w:rsidR="006338AA" w:rsidRPr="006E2145" w:rsidRDefault="006338AA" w:rsidP="00D74466">
      <w:pPr>
        <w:jc w:val="both"/>
      </w:pPr>
    </w:p>
    <w:p w14:paraId="239B3D3E" w14:textId="77777777" w:rsidR="00922A76" w:rsidRPr="006E2145" w:rsidRDefault="00922A76" w:rsidP="00D74466">
      <w:pPr>
        <w:jc w:val="both"/>
      </w:pPr>
    </w:p>
    <w:p w14:paraId="239B3D3F" w14:textId="77777777" w:rsidR="004D2D79" w:rsidRPr="006E2145" w:rsidRDefault="004D2D79" w:rsidP="00D74466">
      <w:pPr>
        <w:jc w:val="both"/>
      </w:pPr>
    </w:p>
    <w:p w14:paraId="239B3D40" w14:textId="77777777" w:rsidR="004D2D79" w:rsidRPr="006E2145" w:rsidRDefault="004D2D79" w:rsidP="00D74466">
      <w:pPr>
        <w:jc w:val="both"/>
      </w:pPr>
    </w:p>
    <w:p w14:paraId="239B3D41" w14:textId="77777777" w:rsidR="004D2D79" w:rsidRPr="006E2145" w:rsidRDefault="004D2D79" w:rsidP="00D74466">
      <w:pPr>
        <w:jc w:val="both"/>
      </w:pPr>
    </w:p>
    <w:p w14:paraId="239B3D42" w14:textId="77777777" w:rsidR="004D2D79" w:rsidRPr="006E2145" w:rsidRDefault="004D2D79" w:rsidP="00D74466">
      <w:pPr>
        <w:jc w:val="both"/>
      </w:pPr>
    </w:p>
    <w:p w14:paraId="239B3D43" w14:textId="77777777" w:rsidR="004D2D79" w:rsidRPr="006E2145" w:rsidRDefault="004D2D79" w:rsidP="00D74466">
      <w:pPr>
        <w:jc w:val="both"/>
      </w:pPr>
    </w:p>
    <w:p w14:paraId="239B3D44" w14:textId="77777777" w:rsidR="004D2D79" w:rsidRPr="006E2145" w:rsidRDefault="004D2D79" w:rsidP="00D74466">
      <w:pPr>
        <w:jc w:val="both"/>
      </w:pPr>
    </w:p>
    <w:p w14:paraId="239B3D45" w14:textId="77777777" w:rsidR="004D2D79" w:rsidRPr="006E2145" w:rsidRDefault="004D2D79" w:rsidP="00D74466">
      <w:pPr>
        <w:jc w:val="both"/>
      </w:pPr>
    </w:p>
    <w:p w14:paraId="239B3D46" w14:textId="77777777" w:rsidR="004D2D79" w:rsidRPr="006E2145" w:rsidRDefault="004D2D79" w:rsidP="00D74466">
      <w:pPr>
        <w:jc w:val="both"/>
      </w:pPr>
    </w:p>
    <w:p w14:paraId="239B3D47" w14:textId="77777777" w:rsidR="004D2D79" w:rsidRPr="006E2145" w:rsidRDefault="004D2D79" w:rsidP="00D74466">
      <w:pPr>
        <w:jc w:val="both"/>
      </w:pPr>
    </w:p>
    <w:p w14:paraId="239B3D48" w14:textId="77777777" w:rsidR="004D2D79" w:rsidRPr="006E2145" w:rsidRDefault="004D2D79" w:rsidP="00D74466">
      <w:pPr>
        <w:jc w:val="both"/>
      </w:pPr>
    </w:p>
    <w:p w14:paraId="239B3D49" w14:textId="77777777" w:rsidR="004D2D79" w:rsidRPr="006E2145" w:rsidRDefault="004D2D79" w:rsidP="00D74466">
      <w:pPr>
        <w:jc w:val="both"/>
      </w:pPr>
    </w:p>
    <w:p w14:paraId="239B3D4A" w14:textId="77777777" w:rsidR="004D2D79" w:rsidRPr="006E2145" w:rsidRDefault="004D2D79" w:rsidP="00D74466">
      <w:pPr>
        <w:jc w:val="both"/>
      </w:pPr>
    </w:p>
    <w:p w14:paraId="239B3D4B" w14:textId="77777777" w:rsidR="004D2D79" w:rsidRPr="006E2145" w:rsidRDefault="004D2D79" w:rsidP="00D74466">
      <w:pPr>
        <w:jc w:val="both"/>
      </w:pPr>
    </w:p>
    <w:p w14:paraId="239B3D4C" w14:textId="77777777" w:rsidR="004D2D79" w:rsidRPr="006E2145" w:rsidRDefault="004D2D79" w:rsidP="00D74466">
      <w:pPr>
        <w:jc w:val="both"/>
      </w:pPr>
    </w:p>
    <w:p w14:paraId="239B3D4D" w14:textId="77777777" w:rsidR="004D2D79" w:rsidRPr="006E2145" w:rsidRDefault="004D2D79" w:rsidP="00D74466">
      <w:pPr>
        <w:jc w:val="both"/>
      </w:pPr>
    </w:p>
    <w:p w14:paraId="239B3D4E" w14:textId="77777777" w:rsidR="004D2D79" w:rsidRPr="006E2145" w:rsidRDefault="004D2D79" w:rsidP="00D74466">
      <w:pPr>
        <w:jc w:val="both"/>
      </w:pPr>
    </w:p>
    <w:p w14:paraId="239B3D4F" w14:textId="77777777" w:rsidR="004D2D79" w:rsidRPr="006E2145" w:rsidRDefault="004D2D79" w:rsidP="00D74466">
      <w:pPr>
        <w:jc w:val="both"/>
      </w:pPr>
    </w:p>
    <w:p w14:paraId="239B3D50" w14:textId="77777777" w:rsidR="004D2D79" w:rsidRPr="006E2145" w:rsidRDefault="004D2D79" w:rsidP="00D74466">
      <w:pPr>
        <w:jc w:val="both"/>
      </w:pPr>
    </w:p>
    <w:p w14:paraId="239B3D51" w14:textId="77777777" w:rsidR="004D2D79" w:rsidRPr="006E2145" w:rsidRDefault="004D2D79" w:rsidP="00D74466">
      <w:pPr>
        <w:jc w:val="both"/>
      </w:pPr>
    </w:p>
    <w:p w14:paraId="239B3D52" w14:textId="77777777" w:rsidR="004D2D79" w:rsidRPr="006E2145" w:rsidRDefault="004D2D79" w:rsidP="00D74466">
      <w:pPr>
        <w:jc w:val="both"/>
      </w:pPr>
    </w:p>
    <w:p w14:paraId="239B3D53" w14:textId="77777777" w:rsidR="004D2D79" w:rsidRDefault="004D2D79" w:rsidP="00D74466">
      <w:pPr>
        <w:jc w:val="both"/>
      </w:pPr>
    </w:p>
    <w:p w14:paraId="5F67A1EC" w14:textId="77777777" w:rsidR="0064551F" w:rsidRDefault="0064551F" w:rsidP="00D74466">
      <w:pPr>
        <w:jc w:val="both"/>
      </w:pPr>
    </w:p>
    <w:p w14:paraId="25BBD2D9" w14:textId="77777777" w:rsidR="0064551F" w:rsidRDefault="0064551F" w:rsidP="00D74466">
      <w:pPr>
        <w:jc w:val="both"/>
      </w:pPr>
    </w:p>
    <w:p w14:paraId="319488D4" w14:textId="77777777" w:rsidR="0064551F" w:rsidRPr="006E2145" w:rsidRDefault="0064551F" w:rsidP="00D74466">
      <w:pPr>
        <w:jc w:val="both"/>
      </w:pPr>
    </w:p>
    <w:p w14:paraId="239B3D54" w14:textId="77777777" w:rsidR="004D2D79" w:rsidRPr="006E2145" w:rsidRDefault="004D2D79" w:rsidP="00D74466">
      <w:pPr>
        <w:jc w:val="both"/>
      </w:pPr>
    </w:p>
    <w:p w14:paraId="239B3D56" w14:textId="77777777" w:rsidR="00D62F7E" w:rsidRPr="006E2145" w:rsidRDefault="001D0AD6" w:rsidP="00D62F7E">
      <w:pPr>
        <w:sectPr w:rsidR="00D62F7E" w:rsidRPr="006E2145" w:rsidSect="006338AA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  <w:r w:rsidRPr="006E2145">
        <w:t>Augustinas Blažys</w:t>
      </w:r>
      <w:r w:rsidR="00D62F7E" w:rsidRPr="006E2145">
        <w:br w:type="page"/>
      </w:r>
    </w:p>
    <w:tbl>
      <w:tblPr>
        <w:tblStyle w:val="Lentelstinklelis"/>
        <w:tblpPr w:leftFromText="180" w:rightFromText="180" w:vertAnchor="text" w:horzAnchor="margin" w:tblpY="2085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417"/>
        <w:gridCol w:w="709"/>
        <w:gridCol w:w="2835"/>
        <w:gridCol w:w="992"/>
        <w:gridCol w:w="851"/>
        <w:gridCol w:w="992"/>
        <w:gridCol w:w="1417"/>
        <w:gridCol w:w="2127"/>
      </w:tblGrid>
      <w:tr w:rsidR="00FA5DC7" w:rsidRPr="006E2145" w14:paraId="239B3D63" w14:textId="77777777" w:rsidTr="00B55400">
        <w:trPr>
          <w:trHeight w:val="699"/>
        </w:trPr>
        <w:tc>
          <w:tcPr>
            <w:tcW w:w="959" w:type="dxa"/>
            <w:hideMark/>
          </w:tcPr>
          <w:p w14:paraId="239B3D57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lastRenderedPageBreak/>
              <w:t>Projekto Nr. schemoje</w:t>
            </w:r>
          </w:p>
        </w:tc>
        <w:tc>
          <w:tcPr>
            <w:tcW w:w="1134" w:type="dxa"/>
            <w:hideMark/>
          </w:tcPr>
          <w:p w14:paraId="239B3D58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Regionas</w:t>
            </w:r>
          </w:p>
        </w:tc>
        <w:tc>
          <w:tcPr>
            <w:tcW w:w="1276" w:type="dxa"/>
            <w:hideMark/>
          </w:tcPr>
          <w:p w14:paraId="239B3D59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Savivaldybė</w:t>
            </w:r>
          </w:p>
        </w:tc>
        <w:tc>
          <w:tcPr>
            <w:tcW w:w="1417" w:type="dxa"/>
            <w:hideMark/>
          </w:tcPr>
          <w:p w14:paraId="239B3D5A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Seniūnija</w:t>
            </w:r>
          </w:p>
        </w:tc>
        <w:tc>
          <w:tcPr>
            <w:tcW w:w="709" w:type="dxa"/>
            <w:hideMark/>
          </w:tcPr>
          <w:p w14:paraId="239B3D5B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Kelio Nr.</w:t>
            </w:r>
          </w:p>
        </w:tc>
        <w:tc>
          <w:tcPr>
            <w:tcW w:w="2835" w:type="dxa"/>
            <w:hideMark/>
          </w:tcPr>
          <w:p w14:paraId="239B3D5C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Kelio pavadinimas</w:t>
            </w:r>
          </w:p>
        </w:tc>
        <w:tc>
          <w:tcPr>
            <w:tcW w:w="992" w:type="dxa"/>
            <w:hideMark/>
          </w:tcPr>
          <w:p w14:paraId="239B3D5D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Nuo, km</w:t>
            </w:r>
          </w:p>
        </w:tc>
        <w:tc>
          <w:tcPr>
            <w:tcW w:w="851" w:type="dxa"/>
            <w:hideMark/>
          </w:tcPr>
          <w:p w14:paraId="239B3D5E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Iki, km</w:t>
            </w:r>
          </w:p>
        </w:tc>
        <w:tc>
          <w:tcPr>
            <w:tcW w:w="992" w:type="dxa"/>
            <w:hideMark/>
          </w:tcPr>
          <w:p w14:paraId="239B3D5F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Ruožo ilgis, km</w:t>
            </w:r>
          </w:p>
        </w:tc>
        <w:tc>
          <w:tcPr>
            <w:tcW w:w="1417" w:type="dxa"/>
            <w:hideMark/>
          </w:tcPr>
          <w:p w14:paraId="239B3D60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Gyvenvietė</w:t>
            </w:r>
          </w:p>
        </w:tc>
        <w:tc>
          <w:tcPr>
            <w:tcW w:w="2127" w:type="dxa"/>
            <w:hideMark/>
          </w:tcPr>
          <w:p w14:paraId="239B3D61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2145">
              <w:rPr>
                <w:b/>
                <w:bCs/>
                <w:sz w:val="18"/>
                <w:szCs w:val="18"/>
              </w:rPr>
              <w:t>Savivaldybės prioritetas</w:t>
            </w:r>
          </w:p>
          <w:p w14:paraId="239B3D62" w14:textId="77777777" w:rsidR="00A5798E" w:rsidRPr="006E2145" w:rsidRDefault="00A5798E" w:rsidP="00B554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5DC7" w:rsidRPr="006E2145" w14:paraId="239B3D6F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64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65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66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67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Pandėlio sen.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68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3634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69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Jonava–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Lailūnai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–Alizava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B3D6A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1,637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B3D6B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1,868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6C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0,231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B3D6D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Lailūnai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14:paraId="239B3D6E" w14:textId="77777777" w:rsidR="00A5798E" w:rsidRPr="006E2145" w:rsidRDefault="00A5798E" w:rsidP="00B55400">
            <w:pPr>
              <w:rPr>
                <w:sz w:val="18"/>
                <w:szCs w:val="18"/>
              </w:rPr>
            </w:pPr>
            <w:r w:rsidRPr="006E2145">
              <w:rPr>
                <w:sz w:val="18"/>
                <w:szCs w:val="18"/>
              </w:rPr>
              <w:t>I prioritetas</w:t>
            </w:r>
          </w:p>
        </w:tc>
      </w:tr>
      <w:tr w:rsidR="00FA5DC7" w:rsidRPr="006E2145" w14:paraId="239B3D7B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70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71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72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73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 xml:space="preserve">Kamajų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74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3626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75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Kalviai–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Verksnionys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–Kariūnai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B3D76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3,597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B3D77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4,26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78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0,663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B3D79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Verksnionys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14:paraId="239B3D7A" w14:textId="77777777" w:rsidR="00A5798E" w:rsidRPr="006E2145" w:rsidRDefault="00A5798E" w:rsidP="00B55400">
            <w:pPr>
              <w:rPr>
                <w:sz w:val="18"/>
                <w:szCs w:val="18"/>
              </w:rPr>
            </w:pPr>
          </w:p>
        </w:tc>
      </w:tr>
      <w:tr w:rsidR="00FA5DC7" w:rsidRPr="006E2145" w14:paraId="239B3D87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7C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7D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7E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7F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Jūžintų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 xml:space="preserve">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80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3631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81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Minkūnai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Aušrėnai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Jūžintai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82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3,41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9B3D83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4,354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84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0,944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85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Aušrėnai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14:paraId="239B3D86" w14:textId="77777777" w:rsidR="00A5798E" w:rsidRPr="006E2145" w:rsidRDefault="00A5798E" w:rsidP="00B55400">
            <w:pPr>
              <w:rPr>
                <w:sz w:val="18"/>
                <w:szCs w:val="18"/>
              </w:rPr>
            </w:pPr>
          </w:p>
        </w:tc>
      </w:tr>
      <w:tr w:rsidR="00FA5DC7" w:rsidRPr="006E2145" w14:paraId="239B3D93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88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89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8A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8B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Obelių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 xml:space="preserve">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8C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3622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8D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Pakriauniai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–Samaniai–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Suviekas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8E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7,812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9B3D8F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8,51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90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0,698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91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Svobiškis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14:paraId="239B3D92" w14:textId="77777777" w:rsidR="00A5798E" w:rsidRPr="006E2145" w:rsidRDefault="00A5798E" w:rsidP="00B55400">
            <w:pPr>
              <w:rPr>
                <w:sz w:val="18"/>
                <w:szCs w:val="18"/>
              </w:rPr>
            </w:pPr>
          </w:p>
        </w:tc>
      </w:tr>
      <w:tr w:rsidR="00FA5DC7" w:rsidRPr="006E2145" w14:paraId="239B3D9F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94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95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96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97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Juodupės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 xml:space="preserve">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98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3645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99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Bryzgiai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–Kraštai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9A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9B3D9B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0,372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9C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0,372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9D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Bryzgiai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14:paraId="239B3D9E" w14:textId="77777777" w:rsidR="00A5798E" w:rsidRPr="006E2145" w:rsidRDefault="00A5798E" w:rsidP="00B55400">
            <w:pPr>
              <w:rPr>
                <w:sz w:val="18"/>
                <w:szCs w:val="18"/>
              </w:rPr>
            </w:pPr>
          </w:p>
        </w:tc>
      </w:tr>
      <w:tr w:rsidR="00FA5DC7" w:rsidRPr="006E2145" w14:paraId="239B3DAB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A0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A1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A2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A3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Jūžintų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 xml:space="preserve">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A4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3631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A5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Minkūnai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Aušrėnai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Jūžintai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A6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8,336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9B3DA7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8,702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A8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0,366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A9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Jūžintai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14:paraId="239B3DAA" w14:textId="77777777" w:rsidR="00A5798E" w:rsidRPr="006E2145" w:rsidRDefault="00A5798E" w:rsidP="00B55400">
            <w:pPr>
              <w:rPr>
                <w:sz w:val="18"/>
                <w:szCs w:val="18"/>
              </w:rPr>
            </w:pPr>
            <w:r w:rsidRPr="006E2145">
              <w:rPr>
                <w:sz w:val="18"/>
                <w:szCs w:val="18"/>
              </w:rPr>
              <w:t>II prioritetas</w:t>
            </w:r>
          </w:p>
        </w:tc>
      </w:tr>
      <w:tr w:rsidR="00FA5DC7" w:rsidRPr="006E2145" w14:paraId="239B3DB7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AC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AD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AE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AF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Obelių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 xml:space="preserve">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B0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B1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Keležeriai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Aleksandravėlė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B2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4,192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9B3DB3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4,574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B4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0,382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B5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Aleksandravėlė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14:paraId="239B3DB6" w14:textId="77777777" w:rsidR="00A5798E" w:rsidRPr="006E2145" w:rsidRDefault="00A5798E" w:rsidP="00B55400">
            <w:pPr>
              <w:rPr>
                <w:sz w:val="18"/>
                <w:szCs w:val="18"/>
              </w:rPr>
            </w:pPr>
            <w:r w:rsidRPr="006E2145">
              <w:rPr>
                <w:sz w:val="18"/>
                <w:szCs w:val="18"/>
              </w:rPr>
              <w:t>III prioritetas</w:t>
            </w:r>
          </w:p>
        </w:tc>
      </w:tr>
      <w:tr w:rsidR="00FA5DC7" w:rsidRPr="006E2145" w14:paraId="239B3DC3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B8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B9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BA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BB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 xml:space="preserve">Kamajų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BC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3643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BD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Duokiškis–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Nečionys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BE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1,183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9B3DBF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1,623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C0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C1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Duokiškis</w:t>
            </w:r>
          </w:p>
        </w:tc>
        <w:tc>
          <w:tcPr>
            <w:tcW w:w="2127" w:type="dxa"/>
            <w:noWrap/>
            <w:vAlign w:val="center"/>
          </w:tcPr>
          <w:p w14:paraId="239B3DC2" w14:textId="77777777" w:rsidR="00A5798E" w:rsidRPr="006E2145" w:rsidRDefault="00A5798E" w:rsidP="00B55400">
            <w:pPr>
              <w:rPr>
                <w:sz w:val="18"/>
                <w:szCs w:val="18"/>
              </w:rPr>
            </w:pPr>
          </w:p>
        </w:tc>
      </w:tr>
      <w:tr w:rsidR="00FA5DC7" w:rsidRPr="006E2145" w14:paraId="239B3DCF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C4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C5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C6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C7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 xml:space="preserve">Kamajų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C8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C9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Kamajai–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Nevieriai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 xml:space="preserve">–Panemunėlio g. 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st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CA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7,292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9B3DCB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8,058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CC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0,766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CD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Nevieriai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14:paraId="239B3DCE" w14:textId="77777777" w:rsidR="00A5798E" w:rsidRPr="006E2145" w:rsidRDefault="00A5798E" w:rsidP="00B55400">
            <w:pPr>
              <w:rPr>
                <w:sz w:val="18"/>
                <w:szCs w:val="18"/>
              </w:rPr>
            </w:pPr>
          </w:p>
        </w:tc>
      </w:tr>
      <w:tr w:rsidR="00FA5DC7" w:rsidRPr="006E2145" w14:paraId="239B3DDB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D0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D1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D2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D3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 xml:space="preserve">Kriaunų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D4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3633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D5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Kurkliečiai–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Bagdoniškis</w:t>
            </w:r>
            <w:proofErr w:type="spellEnd"/>
            <w:r w:rsidRPr="006E2145">
              <w:rPr>
                <w:rFonts w:cstheme="minorHAnsi"/>
                <w:sz w:val="18"/>
                <w:szCs w:val="18"/>
              </w:rPr>
              <w:t>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Buniuškiai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D6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3,505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9B3DD7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3,896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D8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0,391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D9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E2145">
              <w:rPr>
                <w:rFonts w:cstheme="minorHAnsi"/>
                <w:sz w:val="18"/>
                <w:szCs w:val="18"/>
              </w:rPr>
              <w:t>Bagdoniškis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14:paraId="239B3DDA" w14:textId="77777777" w:rsidR="00A5798E" w:rsidRPr="006E2145" w:rsidRDefault="00A5798E" w:rsidP="00B55400">
            <w:pPr>
              <w:rPr>
                <w:sz w:val="18"/>
                <w:szCs w:val="18"/>
              </w:rPr>
            </w:pPr>
          </w:p>
        </w:tc>
      </w:tr>
      <w:tr w:rsidR="00FA5DC7" w:rsidRPr="006E2145" w14:paraId="239B3DE7" w14:textId="77777777" w:rsidTr="00B55400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14:paraId="239B3DDC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3DDD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Panevėžio RK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B3DDE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Rokiškio r. sav.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DF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 xml:space="preserve">Kazliškio sen.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B3DE0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3602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B3DE1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Panemunis–Kazliškis–</w:t>
            </w:r>
            <w:proofErr w:type="spellStart"/>
            <w:r w:rsidRPr="006E2145">
              <w:rPr>
                <w:rFonts w:cstheme="minorHAnsi"/>
                <w:sz w:val="18"/>
                <w:szCs w:val="18"/>
              </w:rPr>
              <w:t>Degeniai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E2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5,926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9B3DE3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9B3DE4" w14:textId="77777777" w:rsidR="00A5798E" w:rsidRPr="006E2145" w:rsidRDefault="00A5798E" w:rsidP="00B55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0,474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9B3DE5" w14:textId="77777777" w:rsidR="00A5798E" w:rsidRPr="006E2145" w:rsidRDefault="00A5798E" w:rsidP="00B55400">
            <w:pPr>
              <w:rPr>
                <w:rFonts w:cstheme="minorHAnsi"/>
                <w:sz w:val="18"/>
                <w:szCs w:val="18"/>
              </w:rPr>
            </w:pPr>
            <w:r w:rsidRPr="006E2145">
              <w:rPr>
                <w:rFonts w:cstheme="minorHAnsi"/>
                <w:sz w:val="18"/>
                <w:szCs w:val="18"/>
              </w:rPr>
              <w:t>Paliepis</w:t>
            </w:r>
          </w:p>
        </w:tc>
        <w:tc>
          <w:tcPr>
            <w:tcW w:w="2127" w:type="dxa"/>
            <w:noWrap/>
            <w:vAlign w:val="center"/>
          </w:tcPr>
          <w:p w14:paraId="239B3DE6" w14:textId="77777777" w:rsidR="00A5798E" w:rsidRPr="006E2145" w:rsidRDefault="00A5798E" w:rsidP="00B55400">
            <w:pPr>
              <w:rPr>
                <w:sz w:val="18"/>
                <w:szCs w:val="18"/>
              </w:rPr>
            </w:pPr>
          </w:p>
        </w:tc>
      </w:tr>
    </w:tbl>
    <w:p w14:paraId="239B3DE8" w14:textId="77777777" w:rsidR="00B55400" w:rsidRPr="002D25BC" w:rsidRDefault="00B55400" w:rsidP="00B55400">
      <w:pPr>
        <w:tabs>
          <w:tab w:val="left" w:pos="5245"/>
        </w:tabs>
        <w:ind w:left="-567" w:firstLine="5812"/>
        <w:jc w:val="both"/>
      </w:pPr>
      <w:r>
        <w:tab/>
      </w:r>
      <w:r>
        <w:tab/>
      </w:r>
      <w:r>
        <w:tab/>
      </w:r>
      <w:r>
        <w:tab/>
      </w:r>
      <w:r w:rsidRPr="002D25BC">
        <w:t>PATVIRTINTA</w:t>
      </w:r>
    </w:p>
    <w:p w14:paraId="239B3DE9" w14:textId="77777777" w:rsidR="00B55400" w:rsidRPr="002D25BC" w:rsidRDefault="00B55400" w:rsidP="00B55400">
      <w:pPr>
        <w:ind w:left="5245" w:hanging="5812"/>
        <w:rPr>
          <w:sz w:val="23"/>
          <w:szCs w:val="23"/>
        </w:rPr>
      </w:pPr>
      <w:r w:rsidRPr="002D25B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D25BC">
        <w:rPr>
          <w:sz w:val="23"/>
          <w:szCs w:val="23"/>
        </w:rPr>
        <w:t>Rokiškio rajono savivaldybės tarybos</w:t>
      </w:r>
    </w:p>
    <w:p w14:paraId="239B3DEA" w14:textId="77777777" w:rsidR="00B55400" w:rsidRPr="009528FC" w:rsidRDefault="00B55400" w:rsidP="00B55400">
      <w:pPr>
        <w:ind w:left="5245" w:hanging="5812"/>
        <w:rPr>
          <w:sz w:val="23"/>
          <w:szCs w:val="23"/>
        </w:rPr>
      </w:pPr>
      <w:r w:rsidRPr="002D25B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2017</w:t>
      </w:r>
      <w:r w:rsidRPr="002D25BC">
        <w:rPr>
          <w:sz w:val="23"/>
          <w:szCs w:val="23"/>
        </w:rPr>
        <w:t xml:space="preserve"> m. </w:t>
      </w:r>
      <w:r>
        <w:rPr>
          <w:sz w:val="23"/>
          <w:szCs w:val="23"/>
        </w:rPr>
        <w:t>balandžio</w:t>
      </w:r>
      <w:r w:rsidRPr="002D25BC">
        <w:rPr>
          <w:sz w:val="23"/>
          <w:szCs w:val="23"/>
        </w:rPr>
        <w:t xml:space="preserve"> </w:t>
      </w:r>
      <w:r>
        <w:rPr>
          <w:sz w:val="23"/>
          <w:szCs w:val="23"/>
        </w:rPr>
        <w:t>28</w:t>
      </w:r>
      <w:r w:rsidRPr="002D25BC">
        <w:rPr>
          <w:sz w:val="23"/>
          <w:szCs w:val="23"/>
        </w:rPr>
        <w:t xml:space="preserve"> d. sprendimu Nr. TS- </w:t>
      </w:r>
    </w:p>
    <w:p w14:paraId="239B3DEB" w14:textId="77777777" w:rsidR="00B55400" w:rsidRDefault="00B55400" w:rsidP="00B55400">
      <w:pPr>
        <w:rPr>
          <w:b/>
        </w:rPr>
      </w:pPr>
    </w:p>
    <w:p w14:paraId="239B3DEC" w14:textId="77777777" w:rsidR="00B55400" w:rsidRDefault="00B55400" w:rsidP="00B55400">
      <w:pPr>
        <w:rPr>
          <w:b/>
        </w:rPr>
      </w:pPr>
    </w:p>
    <w:p w14:paraId="239B3DED" w14:textId="7E16CA07" w:rsidR="00B61DFB" w:rsidRPr="006E2145" w:rsidRDefault="00FA5DC7" w:rsidP="00FA5DC7">
      <w:pPr>
        <w:ind w:left="-284"/>
        <w:jc w:val="center"/>
        <w:rPr>
          <w:b/>
        </w:rPr>
      </w:pPr>
      <w:r w:rsidRPr="006E2145">
        <w:rPr>
          <w:b/>
        </w:rPr>
        <w:t>ASFALTUOTINŲ ŽVYRKELIŲ PER GYVENVIETES 2017</w:t>
      </w:r>
      <w:r w:rsidR="00983D05">
        <w:t>–</w:t>
      </w:r>
      <w:r w:rsidRPr="006E2145">
        <w:rPr>
          <w:b/>
        </w:rPr>
        <w:t>2020 M. PRIORITETINĖ EILĖ</w:t>
      </w:r>
    </w:p>
    <w:p w14:paraId="239B3DEE" w14:textId="77777777" w:rsidR="00FA5DC7" w:rsidRPr="006E2145" w:rsidRDefault="00FA5DC7" w:rsidP="00FA5DC7">
      <w:pPr>
        <w:ind w:left="-284"/>
        <w:jc w:val="center"/>
      </w:pPr>
    </w:p>
    <w:p w14:paraId="239B3DEF" w14:textId="77777777" w:rsidR="00B61DFB" w:rsidRPr="006E2145" w:rsidRDefault="00B61DFB" w:rsidP="004D2D79">
      <w:pPr>
        <w:jc w:val="both"/>
      </w:pPr>
    </w:p>
    <w:p w14:paraId="239B3DF0" w14:textId="77777777" w:rsidR="00B61DFB" w:rsidRPr="006E2145" w:rsidRDefault="00B61DFB" w:rsidP="004D2D79">
      <w:pPr>
        <w:jc w:val="both"/>
      </w:pPr>
    </w:p>
    <w:p w14:paraId="239B3DF1" w14:textId="77777777" w:rsidR="00B61DFB" w:rsidRPr="006E2145" w:rsidRDefault="00B61DFB" w:rsidP="004D2D79">
      <w:pPr>
        <w:jc w:val="both"/>
      </w:pPr>
    </w:p>
    <w:p w14:paraId="239B3DF2" w14:textId="77777777" w:rsidR="00B61DFB" w:rsidRPr="006E2145" w:rsidRDefault="00B61DFB" w:rsidP="004D2D79">
      <w:pPr>
        <w:jc w:val="both"/>
      </w:pPr>
    </w:p>
    <w:p w14:paraId="239B3DF3" w14:textId="77777777" w:rsidR="00B61DFB" w:rsidRPr="006E2145" w:rsidRDefault="00B61DFB" w:rsidP="004D2D79">
      <w:pPr>
        <w:jc w:val="both"/>
      </w:pPr>
    </w:p>
    <w:p w14:paraId="239B3DF4" w14:textId="77777777" w:rsidR="00B61DFB" w:rsidRPr="006E2145" w:rsidRDefault="00B61DFB" w:rsidP="004D2D79">
      <w:pPr>
        <w:jc w:val="both"/>
      </w:pPr>
    </w:p>
    <w:p w14:paraId="239B3DF5" w14:textId="77777777" w:rsidR="00B61DFB" w:rsidRPr="006E2145" w:rsidRDefault="00B61DFB" w:rsidP="004D2D79">
      <w:pPr>
        <w:jc w:val="both"/>
      </w:pPr>
    </w:p>
    <w:p w14:paraId="239B3DF6" w14:textId="77777777" w:rsidR="00B61DFB" w:rsidRPr="006E2145" w:rsidRDefault="00B61DFB" w:rsidP="004D2D79">
      <w:pPr>
        <w:jc w:val="both"/>
      </w:pPr>
    </w:p>
    <w:p w14:paraId="239B3DF7" w14:textId="77777777" w:rsidR="00B61DFB" w:rsidRPr="006E2145" w:rsidRDefault="00B61DFB" w:rsidP="004D2D79">
      <w:pPr>
        <w:jc w:val="both"/>
      </w:pPr>
    </w:p>
    <w:p w14:paraId="239B3DF8" w14:textId="77777777" w:rsidR="00D62F7E" w:rsidRPr="006E2145" w:rsidRDefault="00D62F7E" w:rsidP="004D2D79">
      <w:pPr>
        <w:jc w:val="both"/>
        <w:sectPr w:rsidR="00D62F7E" w:rsidRPr="006E2145" w:rsidSect="00B55400">
          <w:pgSz w:w="16838" w:h="11906" w:orient="landscape" w:code="9"/>
          <w:pgMar w:top="1276" w:right="851" w:bottom="567" w:left="1134" w:header="567" w:footer="567" w:gutter="0"/>
          <w:cols w:space="1296"/>
          <w:docGrid w:linePitch="360"/>
        </w:sectPr>
      </w:pPr>
    </w:p>
    <w:p w14:paraId="239B3DF9" w14:textId="77777777" w:rsidR="00B61DFB" w:rsidRPr="006E2145" w:rsidRDefault="00B61DFB" w:rsidP="004D2D79">
      <w:pPr>
        <w:jc w:val="both"/>
      </w:pPr>
    </w:p>
    <w:p w14:paraId="239B3DFA" w14:textId="77777777" w:rsidR="00050075" w:rsidRPr="006E2145" w:rsidRDefault="00492E6A" w:rsidP="002559E4">
      <w:pPr>
        <w:pStyle w:val="Antrats"/>
        <w:jc w:val="center"/>
        <w:rPr>
          <w:b/>
          <w:sz w:val="24"/>
          <w:szCs w:val="24"/>
          <w:lang w:val="lt-LT"/>
        </w:rPr>
      </w:pPr>
      <w:r w:rsidRPr="006E2145">
        <w:rPr>
          <w:b/>
          <w:sz w:val="24"/>
          <w:szCs w:val="24"/>
          <w:lang w:val="lt-LT"/>
        </w:rPr>
        <w:t>TEIKIAMO SPRENDIMO PROJEKTO</w:t>
      </w:r>
    </w:p>
    <w:p w14:paraId="239B3DFB" w14:textId="77777777" w:rsidR="00492E6A" w:rsidRPr="006E2145" w:rsidRDefault="00050075" w:rsidP="00E00CA3">
      <w:pPr>
        <w:pStyle w:val="Antrats"/>
        <w:jc w:val="center"/>
        <w:rPr>
          <w:b/>
          <w:sz w:val="24"/>
          <w:szCs w:val="24"/>
          <w:lang w:val="lt-LT"/>
        </w:rPr>
      </w:pPr>
      <w:r w:rsidRPr="006E2145">
        <w:rPr>
          <w:b/>
          <w:sz w:val="24"/>
          <w:szCs w:val="24"/>
          <w:lang w:val="lt-LT"/>
        </w:rPr>
        <w:t>,,</w:t>
      </w:r>
      <w:r w:rsidR="00B61DFB" w:rsidRPr="006E2145">
        <w:rPr>
          <w:b/>
          <w:sz w:val="24"/>
          <w:szCs w:val="24"/>
          <w:lang w:val="lt-LT"/>
        </w:rPr>
        <w:t xml:space="preserve"> DĖL ASFALTUOTINŲ ŽVYRKELIŲ PER GYVENVIETES 2017-2020 M. PRIORITETINĖS EILĖS PATVIRTINIMO</w:t>
      </w:r>
      <w:r w:rsidRPr="006E2145">
        <w:rPr>
          <w:b/>
          <w:sz w:val="24"/>
          <w:szCs w:val="24"/>
          <w:lang w:val="lt-LT"/>
        </w:rPr>
        <w:t xml:space="preserve">“ </w:t>
      </w:r>
    </w:p>
    <w:p w14:paraId="239B3DFC" w14:textId="77777777" w:rsidR="00050075" w:rsidRPr="006E2145" w:rsidRDefault="00492E6A" w:rsidP="00E00CA3">
      <w:pPr>
        <w:pStyle w:val="Antrats"/>
        <w:jc w:val="center"/>
        <w:rPr>
          <w:b/>
          <w:sz w:val="24"/>
          <w:szCs w:val="24"/>
          <w:lang w:val="lt-LT"/>
        </w:rPr>
      </w:pPr>
      <w:r w:rsidRPr="006E2145">
        <w:rPr>
          <w:b/>
          <w:sz w:val="24"/>
          <w:szCs w:val="24"/>
          <w:lang w:val="lt-LT"/>
        </w:rPr>
        <w:t>AIŠKINAMASIS RAŠTAS</w:t>
      </w:r>
    </w:p>
    <w:p w14:paraId="239B3DFD" w14:textId="77777777" w:rsidR="00050075" w:rsidRPr="006E2145" w:rsidRDefault="00050075" w:rsidP="00E00CA3">
      <w:pPr>
        <w:pStyle w:val="Antrats"/>
        <w:jc w:val="center"/>
        <w:rPr>
          <w:b/>
          <w:sz w:val="24"/>
          <w:szCs w:val="24"/>
          <w:lang w:val="lt-LT"/>
        </w:rPr>
      </w:pPr>
    </w:p>
    <w:p w14:paraId="239B3DFE" w14:textId="77777777" w:rsidR="00050075" w:rsidRPr="006E2145" w:rsidRDefault="001D0AD6" w:rsidP="00CA7D60">
      <w:pPr>
        <w:jc w:val="center"/>
      </w:pPr>
      <w:r w:rsidRPr="006E2145">
        <w:t>201</w:t>
      </w:r>
      <w:r w:rsidR="006338AA" w:rsidRPr="006E2145">
        <w:t>7</w:t>
      </w:r>
      <w:r w:rsidR="00050075" w:rsidRPr="006E2145">
        <w:t xml:space="preserve"> m. </w:t>
      </w:r>
      <w:r w:rsidR="00B61DFB" w:rsidRPr="006E2145">
        <w:t>balandžio</w:t>
      </w:r>
      <w:r w:rsidR="001F1094" w:rsidRPr="006E2145">
        <w:t xml:space="preserve"> </w:t>
      </w:r>
      <w:r w:rsidR="00B61DFB" w:rsidRPr="006E2145">
        <w:t>12</w:t>
      </w:r>
      <w:r w:rsidR="00050075" w:rsidRPr="006E2145">
        <w:t xml:space="preserve"> d.</w:t>
      </w:r>
    </w:p>
    <w:p w14:paraId="239B3DFF" w14:textId="77777777" w:rsidR="00050075" w:rsidRPr="006E2145" w:rsidRDefault="00050075" w:rsidP="00E949DF">
      <w:pPr>
        <w:jc w:val="center"/>
      </w:pPr>
      <w:r w:rsidRPr="006E2145">
        <w:t>Rokiškis</w:t>
      </w:r>
    </w:p>
    <w:p w14:paraId="239B3E00" w14:textId="77777777" w:rsidR="00050075" w:rsidRPr="006E2145" w:rsidRDefault="00050075" w:rsidP="00E949DF">
      <w:pPr>
        <w:jc w:val="both"/>
      </w:pPr>
    </w:p>
    <w:p w14:paraId="239B3E01" w14:textId="247A1CC8" w:rsidR="00050075" w:rsidRPr="006E2145" w:rsidRDefault="00050075" w:rsidP="00492E6A">
      <w:pPr>
        <w:ind w:firstLine="709"/>
        <w:jc w:val="both"/>
        <w:rPr>
          <w:b/>
        </w:rPr>
      </w:pPr>
      <w:r w:rsidRPr="006E2145">
        <w:rPr>
          <w:b/>
        </w:rPr>
        <w:t>Parengto</w:t>
      </w:r>
      <w:r w:rsidR="0003081D" w:rsidRPr="006E2145">
        <w:rPr>
          <w:b/>
        </w:rPr>
        <w:t xml:space="preserve"> projekto tikslai ir uždaviniai</w:t>
      </w:r>
      <w:r w:rsidR="00492E6A" w:rsidRPr="006E2145">
        <w:rPr>
          <w:b/>
        </w:rPr>
        <w:t xml:space="preserve">. </w:t>
      </w:r>
      <w:r w:rsidRPr="006E2145">
        <w:t xml:space="preserve">Šiuo sprendimo projektu Rokiškio </w:t>
      </w:r>
      <w:r w:rsidR="000F6853" w:rsidRPr="006E2145">
        <w:t xml:space="preserve">rajono savivaldybės tarybai </w:t>
      </w:r>
      <w:r w:rsidR="008E1623" w:rsidRPr="006E2145">
        <w:t xml:space="preserve">teikiama patvirtinti </w:t>
      </w:r>
      <w:r w:rsidR="00FA5DC7" w:rsidRPr="006E2145">
        <w:t>valstybinės reikšmės asfaltuotinų žvyrkelių per gyvenvietes 2017</w:t>
      </w:r>
      <w:r w:rsidR="00CC3FD0">
        <w:t>–</w:t>
      </w:r>
      <w:r w:rsidR="00FA5DC7" w:rsidRPr="006E2145">
        <w:t xml:space="preserve">2020 m. prioritetinę eilę. Patvirtinus svarbiausius </w:t>
      </w:r>
      <w:r w:rsidR="006E2145" w:rsidRPr="006E2145">
        <w:t>tris</w:t>
      </w:r>
      <w:r w:rsidR="00FA5DC7" w:rsidRPr="006E2145">
        <w:t xml:space="preserve"> projektus, </w:t>
      </w:r>
      <w:r w:rsidR="007915BC">
        <w:t xml:space="preserve">Rokiškio rajono savivaldybė galės tiesiogiai įtakoti žvyrkelių per gyvenvietes asfaltavimo darbų eiliškumą. </w:t>
      </w:r>
    </w:p>
    <w:p w14:paraId="239B3E02" w14:textId="77777777" w:rsidR="00050075" w:rsidRPr="006E2145" w:rsidRDefault="00050075" w:rsidP="00994271">
      <w:pPr>
        <w:ind w:firstLine="709"/>
        <w:jc w:val="both"/>
      </w:pPr>
      <w:r w:rsidRPr="006E2145">
        <w:rPr>
          <w:b/>
        </w:rPr>
        <w:t>Šiuo metu e</w:t>
      </w:r>
      <w:r w:rsidR="0003081D" w:rsidRPr="006E2145">
        <w:rPr>
          <w:b/>
        </w:rPr>
        <w:t>santis teisinis reglamentavimas</w:t>
      </w:r>
      <w:r w:rsidR="00492E6A" w:rsidRPr="006E2145">
        <w:rPr>
          <w:b/>
        </w:rPr>
        <w:t xml:space="preserve">. </w:t>
      </w:r>
      <w:r w:rsidR="00FA5DC7" w:rsidRPr="006E2145">
        <w:t>Lietuvos automobilių kelių direkcijos prie Susisiekimo ministerijos 2017 m. kovo 29 d. raštas Nr. (6.104 E) 2E-423 „Dėl asfaltuotinų ruožų atrankos“.</w:t>
      </w:r>
    </w:p>
    <w:p w14:paraId="239B3E03" w14:textId="77777777" w:rsidR="00050075" w:rsidRPr="006E2145" w:rsidRDefault="00050075" w:rsidP="00492E6A">
      <w:pPr>
        <w:ind w:firstLine="709"/>
        <w:jc w:val="both"/>
      </w:pPr>
      <w:r w:rsidRPr="006E2145">
        <w:rPr>
          <w:b/>
        </w:rPr>
        <w:t>Sprendimo projekto esmė</w:t>
      </w:r>
      <w:r w:rsidR="00492E6A" w:rsidRPr="006E2145">
        <w:rPr>
          <w:b/>
        </w:rPr>
        <w:t>.</w:t>
      </w:r>
      <w:r w:rsidR="00492E6A" w:rsidRPr="006E2145">
        <w:t xml:space="preserve"> </w:t>
      </w:r>
      <w:r w:rsidR="00FA5DC7" w:rsidRPr="006E2145">
        <w:t>Lietuvos automobilių kelių direkcija prie Susisiekimo ministerijos 2017 m. kovo 29 raštu Nr. (6.104 E) 2E-423 „Dėl asfaltuotinų ruožų atrankos“ (raštas pridedamas) informavo, jog vykdo 2017-2020 m. asfaltuotinų žvyrkelių ruožų per gyvenviet</w:t>
      </w:r>
      <w:r w:rsidR="006E2145">
        <w:t>e</w:t>
      </w:r>
      <w:r w:rsidR="00FA5DC7" w:rsidRPr="006E2145">
        <w:t xml:space="preserve">s atranką. </w:t>
      </w:r>
      <w:r w:rsidR="001B75BB" w:rsidRPr="006E2145">
        <w:t xml:space="preserve">Siekiant efektyviau ir racionaliau vykdyti žvyrkelių asfaltavimo planavimo procesą, Lietuvos automobilių kelių direkcija prie Susisiekimo ministerijos siūlo Rokiškio rajono savivaldybei bendradarbiauti ir </w:t>
      </w:r>
      <w:r w:rsidR="00EA051F">
        <w:t xml:space="preserve">iš pateikto sąrašo </w:t>
      </w:r>
      <w:r w:rsidR="001B75BB" w:rsidRPr="006E2145">
        <w:t xml:space="preserve">nurodyti </w:t>
      </w:r>
      <w:r w:rsidR="006E2145">
        <w:t>tris svarbiausius</w:t>
      </w:r>
      <w:r w:rsidR="001B75BB" w:rsidRPr="006E2145">
        <w:t xml:space="preserve"> </w:t>
      </w:r>
      <w:r w:rsidR="00064F32" w:rsidRPr="006E2145">
        <w:t>asfaltuotinus</w:t>
      </w:r>
      <w:r w:rsidR="006E2145" w:rsidRPr="006E2145">
        <w:t xml:space="preserve"> žvyrkelių per gyvenvietes</w:t>
      </w:r>
      <w:r w:rsidR="00064F32" w:rsidRPr="006E2145">
        <w:t xml:space="preserve"> ruožus</w:t>
      </w:r>
      <w:r w:rsidR="006E2145" w:rsidRPr="006E2145">
        <w:t>.</w:t>
      </w:r>
      <w:r w:rsidR="001B75BB" w:rsidRPr="006E2145">
        <w:t xml:space="preserve"> </w:t>
      </w:r>
      <w:r w:rsidR="006E2145">
        <w:t>Šiems objektams bus</w:t>
      </w:r>
      <w:r w:rsidR="001B75BB" w:rsidRPr="006E2145">
        <w:t xml:space="preserve"> skirti papildomi atrankos</w:t>
      </w:r>
      <w:r w:rsidR="006E2145">
        <w:t xml:space="preserve"> balai:</w:t>
      </w:r>
      <w:r w:rsidR="001B75BB" w:rsidRPr="006E2145">
        <w:t xml:space="preserve"> </w:t>
      </w:r>
      <w:r w:rsidR="00064F32" w:rsidRPr="006E2145">
        <w:t>I prioritetui skiriama 20 papildomų balų, II prioritetui – 15 papildomų balų, III prioritetui – 10 papildomų balų. Surinkusi ir įvertinusi informaciją iš visų Lietuvos savivaldybių, Lietuvos automobilių kelių direkcija prie Susisiekimo ministerijos sudarys galutinį asfaltuotinų žvyrkelių ruožų per gyvenvietes prioritetinį sąrašą</w:t>
      </w:r>
      <w:r w:rsidR="006E2145">
        <w:t xml:space="preserve">, todėl papildomai Rokiškio rajono savivaldybės skirti atrankos balai gali ženkliai įtakoti rajono </w:t>
      </w:r>
      <w:r w:rsidR="005016D2">
        <w:t>žvyrkelių</w:t>
      </w:r>
      <w:r w:rsidR="000F2055">
        <w:t xml:space="preserve"> išsidėstymą visos šalies </w:t>
      </w:r>
      <w:proofErr w:type="spellStart"/>
      <w:r w:rsidR="000F2055">
        <w:t>mąstu</w:t>
      </w:r>
      <w:proofErr w:type="spellEnd"/>
      <w:r w:rsidR="000F2055">
        <w:t xml:space="preserve"> bei paspartinti nurodytų ruožų asfaltavimo darbų pradžią.</w:t>
      </w:r>
    </w:p>
    <w:p w14:paraId="239B3E04" w14:textId="77777777" w:rsidR="007915BC" w:rsidRDefault="00AF04EF" w:rsidP="007915BC">
      <w:pPr>
        <w:ind w:firstLine="709"/>
        <w:jc w:val="both"/>
      </w:pPr>
      <w:r w:rsidRPr="006E2145">
        <w:t>Iš pateiktų objektų I prioritetu</w:t>
      </w:r>
      <w:r w:rsidR="00064F32" w:rsidRPr="006E2145">
        <w:t xml:space="preserve"> </w:t>
      </w:r>
      <w:r w:rsidRPr="006E2145">
        <w:t>siūloma nurodyti kelio Nr. 3634 Jonava-</w:t>
      </w:r>
      <w:proofErr w:type="spellStart"/>
      <w:r w:rsidRPr="006E2145">
        <w:t>Lailūnai-Alizava</w:t>
      </w:r>
      <w:proofErr w:type="spellEnd"/>
      <w:r w:rsidRPr="006E2145">
        <w:t xml:space="preserve"> ruožo nuo 1,637 km iki 1,868 km (per </w:t>
      </w:r>
      <w:proofErr w:type="spellStart"/>
      <w:r w:rsidRPr="006E2145">
        <w:t>Lailūnų</w:t>
      </w:r>
      <w:proofErr w:type="spellEnd"/>
      <w:r w:rsidRPr="006E2145">
        <w:t xml:space="preserve"> gyvenvietę) asfaltavimo darbus, II prioritetu siūloma nurodyti kelio Nr. 3631 </w:t>
      </w:r>
      <w:proofErr w:type="spellStart"/>
      <w:r w:rsidRPr="006E2145">
        <w:t>Minkūnai-Aušrėnai-Jūžintai</w:t>
      </w:r>
      <w:proofErr w:type="spellEnd"/>
      <w:r w:rsidRPr="006E2145">
        <w:t xml:space="preserve"> ruožo nuo 8,336 km iki 8,702 km (per </w:t>
      </w:r>
      <w:proofErr w:type="spellStart"/>
      <w:r w:rsidRPr="006E2145">
        <w:t>Jūžintų</w:t>
      </w:r>
      <w:proofErr w:type="spellEnd"/>
      <w:r w:rsidRPr="006E2145">
        <w:t xml:space="preserve"> gyvenvietę) asfaltavimo darbus, III prioritetu siūloma nurodyti kelio Nr. </w:t>
      </w:r>
      <w:r w:rsidR="009A7304" w:rsidRPr="006E2145">
        <w:t>3635</w:t>
      </w:r>
      <w:r w:rsidRPr="006E2145">
        <w:t xml:space="preserve"> </w:t>
      </w:r>
      <w:proofErr w:type="spellStart"/>
      <w:r w:rsidR="009A7304" w:rsidRPr="006E2145">
        <w:t>Keležeriai</w:t>
      </w:r>
      <w:r w:rsidRPr="006E2145">
        <w:t>-</w:t>
      </w:r>
      <w:r w:rsidR="009A7304" w:rsidRPr="006E2145">
        <w:t>Aleksandravėlė</w:t>
      </w:r>
      <w:proofErr w:type="spellEnd"/>
      <w:r w:rsidRPr="006E2145">
        <w:t xml:space="preserve"> ruožo nuo </w:t>
      </w:r>
      <w:r w:rsidR="009A7304" w:rsidRPr="006E2145">
        <w:t>4,192</w:t>
      </w:r>
      <w:r w:rsidRPr="006E2145">
        <w:t xml:space="preserve"> km iki </w:t>
      </w:r>
      <w:r w:rsidR="009A7304" w:rsidRPr="006E2145">
        <w:t>4,574</w:t>
      </w:r>
      <w:r w:rsidRPr="006E2145">
        <w:t xml:space="preserve"> km (per </w:t>
      </w:r>
      <w:proofErr w:type="spellStart"/>
      <w:r w:rsidR="009A7304" w:rsidRPr="006E2145">
        <w:t>Aleksandravėlės</w:t>
      </w:r>
      <w:proofErr w:type="spellEnd"/>
      <w:r w:rsidRPr="006E2145">
        <w:t xml:space="preserve"> gyvenvietę) asfaltavimo darbus</w:t>
      </w:r>
      <w:r w:rsidR="009A7304" w:rsidRPr="006E2145">
        <w:t xml:space="preserve">. Šiuose ruožuose </w:t>
      </w:r>
      <w:r w:rsidR="000F2055">
        <w:t xml:space="preserve">metinis paros </w:t>
      </w:r>
      <w:r w:rsidR="009A7304" w:rsidRPr="006E2145">
        <w:t>eismo intensyvumas</w:t>
      </w:r>
      <w:r w:rsidR="000F2055">
        <w:t xml:space="preserve"> ir gyvenvietėse gyve</w:t>
      </w:r>
      <w:r w:rsidR="007915BC">
        <w:t>nančių žmonių</w:t>
      </w:r>
      <w:r w:rsidR="000F2055">
        <w:t xml:space="preserve"> skaičius</w:t>
      </w:r>
      <w:r w:rsidR="009A7304" w:rsidRPr="006E2145">
        <w:t xml:space="preserve"> yra </w:t>
      </w:r>
      <w:r w:rsidR="000F2055">
        <w:t xml:space="preserve">vieni iš </w:t>
      </w:r>
      <w:r w:rsidR="009A7304" w:rsidRPr="006E2145">
        <w:t>didžiausi</w:t>
      </w:r>
      <w:r w:rsidR="000F2055">
        <w:t>ų</w:t>
      </w:r>
      <w:r w:rsidR="009A7304" w:rsidRPr="006E2145">
        <w:t xml:space="preserve">, </w:t>
      </w:r>
      <w:r w:rsidR="000F2055">
        <w:t>todėl</w:t>
      </w:r>
      <w:r w:rsidR="009A7304" w:rsidRPr="006E2145">
        <w:t xml:space="preserve"> </w:t>
      </w:r>
      <w:r w:rsidR="000F2055">
        <w:t xml:space="preserve">naudą pajustų </w:t>
      </w:r>
      <w:r w:rsidR="007915BC">
        <w:t>nemaža dalis rajono gyventojų</w:t>
      </w:r>
      <w:r w:rsidR="009A7304" w:rsidRPr="006E2145">
        <w:t>.</w:t>
      </w:r>
    </w:p>
    <w:p w14:paraId="239B3E05" w14:textId="77777777" w:rsidR="005016D2" w:rsidRPr="006E2145" w:rsidRDefault="005016D2" w:rsidP="007915BC">
      <w:pPr>
        <w:ind w:firstLine="709"/>
        <w:jc w:val="both"/>
      </w:pPr>
      <w:r>
        <w:t xml:space="preserve">Prioritetinės eilės pateikimo terminas yra suderintas su </w:t>
      </w:r>
      <w:r w:rsidRPr="006E2145">
        <w:t>Lietuvos automobilių kelių direkcija prie Susisiekimo ministerijos</w:t>
      </w:r>
    </w:p>
    <w:p w14:paraId="239B3E06" w14:textId="77777777" w:rsidR="00050075" w:rsidRPr="006E2145" w:rsidRDefault="00050075" w:rsidP="00492E6A">
      <w:pPr>
        <w:ind w:firstLine="709"/>
        <w:jc w:val="both"/>
      </w:pPr>
      <w:r w:rsidRPr="006E2145">
        <w:rPr>
          <w:b/>
        </w:rPr>
        <w:t>Galimos pasekmės, priėmus siūlomą tarybos sprendimo projektą</w:t>
      </w:r>
      <w:r w:rsidRPr="006E2145">
        <w:t>:</w:t>
      </w:r>
    </w:p>
    <w:p w14:paraId="239B3E07" w14:textId="77777777" w:rsidR="00050075" w:rsidRPr="006E2145" w:rsidRDefault="00050075" w:rsidP="00492E6A">
      <w:pPr>
        <w:ind w:firstLine="709"/>
        <w:jc w:val="both"/>
      </w:pPr>
      <w:r w:rsidRPr="006E2145">
        <w:rPr>
          <w:b/>
        </w:rPr>
        <w:t>teigiamos</w:t>
      </w:r>
      <w:r w:rsidRPr="006E2145">
        <w:t xml:space="preserve"> – pagerės kelių būklė;</w:t>
      </w:r>
    </w:p>
    <w:p w14:paraId="239B3E08" w14:textId="77777777" w:rsidR="00050075" w:rsidRPr="006E2145" w:rsidRDefault="00050075" w:rsidP="00492E6A">
      <w:pPr>
        <w:ind w:firstLine="709"/>
        <w:jc w:val="both"/>
      </w:pPr>
      <w:r w:rsidRPr="006E2145">
        <w:rPr>
          <w:b/>
        </w:rPr>
        <w:t>neigiamos</w:t>
      </w:r>
      <w:r w:rsidRPr="006E2145">
        <w:t xml:space="preserve"> – nėra.</w:t>
      </w:r>
    </w:p>
    <w:p w14:paraId="239B3E09" w14:textId="77777777" w:rsidR="00492E6A" w:rsidRPr="006E2145" w:rsidRDefault="00492E6A" w:rsidP="00492E6A">
      <w:pPr>
        <w:ind w:firstLine="709"/>
        <w:jc w:val="both"/>
      </w:pPr>
      <w:r w:rsidRPr="006E2145">
        <w:rPr>
          <w:b/>
        </w:rPr>
        <w:t>Kokia sprendimo nauda Rokiškio rajono gyventojams.</w:t>
      </w:r>
      <w:r w:rsidR="00994271" w:rsidRPr="006E2145">
        <w:rPr>
          <w:b/>
        </w:rPr>
        <w:t xml:space="preserve"> </w:t>
      </w:r>
      <w:r w:rsidR="00994271" w:rsidRPr="006E2145">
        <w:t>Su</w:t>
      </w:r>
      <w:r w:rsidR="001D78EC" w:rsidRPr="006E2145">
        <w:t>trumpės</w:t>
      </w:r>
      <w:r w:rsidR="00994271" w:rsidRPr="006E2145">
        <w:t xml:space="preserve"> </w:t>
      </w:r>
      <w:r w:rsidR="001D78EC" w:rsidRPr="006E2145">
        <w:t>kelionės</w:t>
      </w:r>
      <w:r w:rsidR="00994271" w:rsidRPr="006E2145">
        <w:t xml:space="preserve"> laikas, sumažės transporto priemonių eksploatacinės išlaidos</w:t>
      </w:r>
      <w:r w:rsidR="006803A4" w:rsidRPr="006E2145">
        <w:t xml:space="preserve"> ir</w:t>
      </w:r>
      <w:r w:rsidR="00994271" w:rsidRPr="006E2145">
        <w:t xml:space="preserve"> oro tarša, padidės saugumas keliuose.</w:t>
      </w:r>
    </w:p>
    <w:p w14:paraId="239B3E0A" w14:textId="77777777" w:rsidR="00050075" w:rsidRPr="006E2145" w:rsidRDefault="00050075" w:rsidP="00492E6A">
      <w:pPr>
        <w:ind w:firstLine="709"/>
        <w:jc w:val="both"/>
      </w:pPr>
      <w:r w:rsidRPr="006E2145">
        <w:rPr>
          <w:b/>
        </w:rPr>
        <w:t>Finansavimo šaltiniai ir lėšų poreikis</w:t>
      </w:r>
      <w:r w:rsidRPr="006E2145">
        <w:t xml:space="preserve">. Kelių priežiūros ir plėtros programa. </w:t>
      </w:r>
    </w:p>
    <w:p w14:paraId="239B3E0B" w14:textId="77777777" w:rsidR="00050075" w:rsidRPr="006E2145" w:rsidRDefault="00050075" w:rsidP="00492E6A">
      <w:pPr>
        <w:ind w:firstLine="709"/>
        <w:jc w:val="both"/>
        <w:rPr>
          <w:b/>
        </w:rPr>
      </w:pPr>
      <w:r w:rsidRPr="006E2145">
        <w:rPr>
          <w:b/>
        </w:rPr>
        <w:t>Suderinamumas su Lietuvos Respublikos galioja</w:t>
      </w:r>
      <w:r w:rsidR="0003081D" w:rsidRPr="006E2145">
        <w:rPr>
          <w:b/>
        </w:rPr>
        <w:t>nčiais teisės norminiais aktais</w:t>
      </w:r>
    </w:p>
    <w:p w14:paraId="239B3E0C" w14:textId="77777777" w:rsidR="00050075" w:rsidRPr="006E2145" w:rsidRDefault="00050075" w:rsidP="00492E6A">
      <w:pPr>
        <w:ind w:firstLine="709"/>
        <w:jc w:val="both"/>
        <w:rPr>
          <w:b/>
        </w:rPr>
      </w:pPr>
      <w:r w:rsidRPr="006E2145">
        <w:t>Projektas neprieštarauja galiojantiems teisės aktams.</w:t>
      </w:r>
    </w:p>
    <w:p w14:paraId="239B3E0D" w14:textId="77777777" w:rsidR="00302E68" w:rsidRPr="006E2145" w:rsidRDefault="00302E68" w:rsidP="00492E6A">
      <w:pPr>
        <w:ind w:firstLine="709"/>
        <w:jc w:val="both"/>
      </w:pPr>
      <w:r w:rsidRPr="006E2145">
        <w:rPr>
          <w:b/>
        </w:rPr>
        <w:t xml:space="preserve">Antikorupcinis vertinimas. </w:t>
      </w:r>
      <w:r w:rsidRPr="006E2145"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239B3E0E" w14:textId="77777777" w:rsidR="00050075" w:rsidRPr="006E2145" w:rsidRDefault="00050075" w:rsidP="006F1213">
      <w:pPr>
        <w:jc w:val="both"/>
      </w:pPr>
    </w:p>
    <w:p w14:paraId="239B3E0F" w14:textId="77777777" w:rsidR="00050075" w:rsidRPr="006E2145" w:rsidRDefault="00050075" w:rsidP="006F1213">
      <w:pPr>
        <w:jc w:val="both"/>
      </w:pPr>
      <w:r w:rsidRPr="006E2145">
        <w:t xml:space="preserve">Statybos ir infrastruktūros plėtros skyriaus </w:t>
      </w:r>
    </w:p>
    <w:p w14:paraId="239B3E10" w14:textId="77777777" w:rsidR="00455345" w:rsidRPr="006E2145" w:rsidRDefault="001D0AD6" w:rsidP="006F1213">
      <w:pPr>
        <w:jc w:val="both"/>
      </w:pPr>
      <w:r w:rsidRPr="006E2145">
        <w:t xml:space="preserve">vyriausiasis specialistas </w:t>
      </w:r>
      <w:r w:rsidRPr="006E2145">
        <w:tab/>
      </w:r>
      <w:r w:rsidRPr="006E2145">
        <w:tab/>
      </w:r>
      <w:r w:rsidRPr="006E2145">
        <w:tab/>
      </w:r>
      <w:r w:rsidRPr="006E2145">
        <w:tab/>
        <w:t>Augustinas Blažys</w:t>
      </w:r>
    </w:p>
    <w:p w14:paraId="239B3E11" w14:textId="77777777" w:rsidR="00050075" w:rsidRPr="006E2145" w:rsidRDefault="00050075" w:rsidP="00CA7D60">
      <w:pPr>
        <w:jc w:val="both"/>
        <w:rPr>
          <w:sz w:val="32"/>
          <w:szCs w:val="32"/>
        </w:rPr>
      </w:pPr>
    </w:p>
    <w:sectPr w:rsidR="00050075" w:rsidRPr="006E2145" w:rsidSect="00D62F7E">
      <w:pgSz w:w="11906" w:h="16838" w:code="9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B3E16" w14:textId="77777777" w:rsidR="0013241B" w:rsidRDefault="0013241B" w:rsidP="00D62F7E">
      <w:r>
        <w:separator/>
      </w:r>
    </w:p>
  </w:endnote>
  <w:endnote w:type="continuationSeparator" w:id="0">
    <w:p w14:paraId="239B3E17" w14:textId="77777777" w:rsidR="0013241B" w:rsidRDefault="0013241B" w:rsidP="00D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B3E14" w14:textId="77777777" w:rsidR="0013241B" w:rsidRDefault="0013241B" w:rsidP="00D62F7E">
      <w:r>
        <w:separator/>
      </w:r>
    </w:p>
  </w:footnote>
  <w:footnote w:type="continuationSeparator" w:id="0">
    <w:p w14:paraId="239B3E15" w14:textId="77777777" w:rsidR="0013241B" w:rsidRDefault="0013241B" w:rsidP="00D6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126CF"/>
    <w:rsid w:val="0003081D"/>
    <w:rsid w:val="00043F02"/>
    <w:rsid w:val="00046F59"/>
    <w:rsid w:val="00050075"/>
    <w:rsid w:val="00055CE9"/>
    <w:rsid w:val="00060FD4"/>
    <w:rsid w:val="00064F32"/>
    <w:rsid w:val="00093DA8"/>
    <w:rsid w:val="000A161D"/>
    <w:rsid w:val="000A4122"/>
    <w:rsid w:val="000B1382"/>
    <w:rsid w:val="000B2603"/>
    <w:rsid w:val="000C3AAB"/>
    <w:rsid w:val="000D2811"/>
    <w:rsid w:val="000E02A9"/>
    <w:rsid w:val="000E0984"/>
    <w:rsid w:val="000E0AEE"/>
    <w:rsid w:val="000E1613"/>
    <w:rsid w:val="000F2055"/>
    <w:rsid w:val="000F3A17"/>
    <w:rsid w:val="000F4E9B"/>
    <w:rsid w:val="000F6853"/>
    <w:rsid w:val="00100EC1"/>
    <w:rsid w:val="00110ABD"/>
    <w:rsid w:val="00120FCA"/>
    <w:rsid w:val="0012484F"/>
    <w:rsid w:val="00126C1F"/>
    <w:rsid w:val="001305AC"/>
    <w:rsid w:val="00132189"/>
    <w:rsid w:val="0013241B"/>
    <w:rsid w:val="001362FE"/>
    <w:rsid w:val="00141A10"/>
    <w:rsid w:val="00150AE3"/>
    <w:rsid w:val="0016211B"/>
    <w:rsid w:val="001631B1"/>
    <w:rsid w:val="00165DB5"/>
    <w:rsid w:val="001711A2"/>
    <w:rsid w:val="00171A2B"/>
    <w:rsid w:val="00181A3E"/>
    <w:rsid w:val="00190B20"/>
    <w:rsid w:val="0019215D"/>
    <w:rsid w:val="001A2596"/>
    <w:rsid w:val="001A27F7"/>
    <w:rsid w:val="001A44BF"/>
    <w:rsid w:val="001B75BB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4C16"/>
    <w:rsid w:val="002651E1"/>
    <w:rsid w:val="00265973"/>
    <w:rsid w:val="002659F1"/>
    <w:rsid w:val="00292E6E"/>
    <w:rsid w:val="00293CAE"/>
    <w:rsid w:val="002B5098"/>
    <w:rsid w:val="002C4105"/>
    <w:rsid w:val="002E6DC2"/>
    <w:rsid w:val="002E7AE3"/>
    <w:rsid w:val="00301F7D"/>
    <w:rsid w:val="00302E68"/>
    <w:rsid w:val="003122A3"/>
    <w:rsid w:val="00316478"/>
    <w:rsid w:val="00320009"/>
    <w:rsid w:val="00335A69"/>
    <w:rsid w:val="00335B91"/>
    <w:rsid w:val="003505A9"/>
    <w:rsid w:val="0035101E"/>
    <w:rsid w:val="003532D9"/>
    <w:rsid w:val="003553B6"/>
    <w:rsid w:val="00355719"/>
    <w:rsid w:val="003575A7"/>
    <w:rsid w:val="00366E5E"/>
    <w:rsid w:val="00367FC5"/>
    <w:rsid w:val="00374435"/>
    <w:rsid w:val="003826AA"/>
    <w:rsid w:val="003D14C8"/>
    <w:rsid w:val="003D7DE7"/>
    <w:rsid w:val="003E1C30"/>
    <w:rsid w:val="003F7A46"/>
    <w:rsid w:val="004072C4"/>
    <w:rsid w:val="00412050"/>
    <w:rsid w:val="004151EF"/>
    <w:rsid w:val="00420805"/>
    <w:rsid w:val="004244FB"/>
    <w:rsid w:val="00427DE0"/>
    <w:rsid w:val="0043152D"/>
    <w:rsid w:val="004319BE"/>
    <w:rsid w:val="00440D18"/>
    <w:rsid w:val="0045154B"/>
    <w:rsid w:val="00455345"/>
    <w:rsid w:val="004635C3"/>
    <w:rsid w:val="004653F7"/>
    <w:rsid w:val="00472CC4"/>
    <w:rsid w:val="00473A1F"/>
    <w:rsid w:val="00492E6A"/>
    <w:rsid w:val="004A43EE"/>
    <w:rsid w:val="004A5D55"/>
    <w:rsid w:val="004A6068"/>
    <w:rsid w:val="004B22DD"/>
    <w:rsid w:val="004D2AF1"/>
    <w:rsid w:val="004D2D79"/>
    <w:rsid w:val="004E18D6"/>
    <w:rsid w:val="004E228E"/>
    <w:rsid w:val="004E3204"/>
    <w:rsid w:val="004E3C2C"/>
    <w:rsid w:val="004E6B5C"/>
    <w:rsid w:val="004F0426"/>
    <w:rsid w:val="005016D2"/>
    <w:rsid w:val="00505E6B"/>
    <w:rsid w:val="005066C1"/>
    <w:rsid w:val="005130DA"/>
    <w:rsid w:val="00530539"/>
    <w:rsid w:val="005401B0"/>
    <w:rsid w:val="00555A28"/>
    <w:rsid w:val="005652D4"/>
    <w:rsid w:val="00572D10"/>
    <w:rsid w:val="00573391"/>
    <w:rsid w:val="00573621"/>
    <w:rsid w:val="00576FE3"/>
    <w:rsid w:val="00586C37"/>
    <w:rsid w:val="005873DB"/>
    <w:rsid w:val="0059266A"/>
    <w:rsid w:val="005B0859"/>
    <w:rsid w:val="005B23FD"/>
    <w:rsid w:val="005B5095"/>
    <w:rsid w:val="005C2292"/>
    <w:rsid w:val="005C5239"/>
    <w:rsid w:val="005D451F"/>
    <w:rsid w:val="005E1BDC"/>
    <w:rsid w:val="005E2343"/>
    <w:rsid w:val="005E3E29"/>
    <w:rsid w:val="005E697A"/>
    <w:rsid w:val="00603359"/>
    <w:rsid w:val="00603566"/>
    <w:rsid w:val="006338AA"/>
    <w:rsid w:val="00634A52"/>
    <w:rsid w:val="0064551F"/>
    <w:rsid w:val="00647CE6"/>
    <w:rsid w:val="00655407"/>
    <w:rsid w:val="00655AF1"/>
    <w:rsid w:val="00661AFE"/>
    <w:rsid w:val="006679C7"/>
    <w:rsid w:val="00670C8A"/>
    <w:rsid w:val="00676544"/>
    <w:rsid w:val="006803A4"/>
    <w:rsid w:val="00681350"/>
    <w:rsid w:val="00685D16"/>
    <w:rsid w:val="00687360"/>
    <w:rsid w:val="00687E64"/>
    <w:rsid w:val="006A7DE4"/>
    <w:rsid w:val="006B3901"/>
    <w:rsid w:val="006D3F17"/>
    <w:rsid w:val="006E2145"/>
    <w:rsid w:val="006F1213"/>
    <w:rsid w:val="00704447"/>
    <w:rsid w:val="0071408E"/>
    <w:rsid w:val="007144A2"/>
    <w:rsid w:val="00736B3C"/>
    <w:rsid w:val="00737CD5"/>
    <w:rsid w:val="00746113"/>
    <w:rsid w:val="00756803"/>
    <w:rsid w:val="00765A1E"/>
    <w:rsid w:val="0077038E"/>
    <w:rsid w:val="00780E4F"/>
    <w:rsid w:val="007915BC"/>
    <w:rsid w:val="007A1558"/>
    <w:rsid w:val="007A4EA6"/>
    <w:rsid w:val="007A7472"/>
    <w:rsid w:val="007A7C65"/>
    <w:rsid w:val="007B0D53"/>
    <w:rsid w:val="007B43C8"/>
    <w:rsid w:val="007B45C9"/>
    <w:rsid w:val="007D3342"/>
    <w:rsid w:val="007E07EB"/>
    <w:rsid w:val="007E4433"/>
    <w:rsid w:val="007E61B5"/>
    <w:rsid w:val="007F5EEA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7E68"/>
    <w:rsid w:val="00872932"/>
    <w:rsid w:val="008807C2"/>
    <w:rsid w:val="00882CD2"/>
    <w:rsid w:val="00893C54"/>
    <w:rsid w:val="008A1458"/>
    <w:rsid w:val="008A2634"/>
    <w:rsid w:val="008B43F1"/>
    <w:rsid w:val="008C66F4"/>
    <w:rsid w:val="008D29DD"/>
    <w:rsid w:val="008D7A7A"/>
    <w:rsid w:val="008E029C"/>
    <w:rsid w:val="008E1623"/>
    <w:rsid w:val="008E47D4"/>
    <w:rsid w:val="0091258C"/>
    <w:rsid w:val="0092110C"/>
    <w:rsid w:val="00922A76"/>
    <w:rsid w:val="00923FD5"/>
    <w:rsid w:val="00924EF9"/>
    <w:rsid w:val="00943374"/>
    <w:rsid w:val="00943B1A"/>
    <w:rsid w:val="00943BBD"/>
    <w:rsid w:val="00947DE1"/>
    <w:rsid w:val="00953C11"/>
    <w:rsid w:val="00957D4C"/>
    <w:rsid w:val="00962A6E"/>
    <w:rsid w:val="009718F7"/>
    <w:rsid w:val="00983D05"/>
    <w:rsid w:val="00984E91"/>
    <w:rsid w:val="009862B0"/>
    <w:rsid w:val="00986BE5"/>
    <w:rsid w:val="00990532"/>
    <w:rsid w:val="00994271"/>
    <w:rsid w:val="009A718F"/>
    <w:rsid w:val="009A7304"/>
    <w:rsid w:val="009C2472"/>
    <w:rsid w:val="009C6908"/>
    <w:rsid w:val="009D45A9"/>
    <w:rsid w:val="009E3F6B"/>
    <w:rsid w:val="009E7420"/>
    <w:rsid w:val="009F1050"/>
    <w:rsid w:val="009F4A0C"/>
    <w:rsid w:val="009F5914"/>
    <w:rsid w:val="009F6BAB"/>
    <w:rsid w:val="00A01320"/>
    <w:rsid w:val="00A06FEA"/>
    <w:rsid w:val="00A125A1"/>
    <w:rsid w:val="00A12EDD"/>
    <w:rsid w:val="00A31FDF"/>
    <w:rsid w:val="00A34AE0"/>
    <w:rsid w:val="00A5798E"/>
    <w:rsid w:val="00A62B01"/>
    <w:rsid w:val="00A71BD6"/>
    <w:rsid w:val="00A740CA"/>
    <w:rsid w:val="00A92855"/>
    <w:rsid w:val="00AA5E82"/>
    <w:rsid w:val="00AB1D1E"/>
    <w:rsid w:val="00AB6B06"/>
    <w:rsid w:val="00AB7625"/>
    <w:rsid w:val="00AB7C50"/>
    <w:rsid w:val="00AD408C"/>
    <w:rsid w:val="00AE2B96"/>
    <w:rsid w:val="00AE4E4D"/>
    <w:rsid w:val="00AE6899"/>
    <w:rsid w:val="00AF04EF"/>
    <w:rsid w:val="00AF5ACF"/>
    <w:rsid w:val="00B01483"/>
    <w:rsid w:val="00B106BF"/>
    <w:rsid w:val="00B12461"/>
    <w:rsid w:val="00B20D2D"/>
    <w:rsid w:val="00B232F0"/>
    <w:rsid w:val="00B44763"/>
    <w:rsid w:val="00B531C2"/>
    <w:rsid w:val="00B54B96"/>
    <w:rsid w:val="00B55400"/>
    <w:rsid w:val="00B55FD4"/>
    <w:rsid w:val="00B572FD"/>
    <w:rsid w:val="00B60641"/>
    <w:rsid w:val="00B61DFB"/>
    <w:rsid w:val="00B7118A"/>
    <w:rsid w:val="00B7704A"/>
    <w:rsid w:val="00B83D7C"/>
    <w:rsid w:val="00B875C8"/>
    <w:rsid w:val="00B95208"/>
    <w:rsid w:val="00B95255"/>
    <w:rsid w:val="00B96C0F"/>
    <w:rsid w:val="00BA297B"/>
    <w:rsid w:val="00BB0325"/>
    <w:rsid w:val="00BB154F"/>
    <w:rsid w:val="00BB59C4"/>
    <w:rsid w:val="00BC1495"/>
    <w:rsid w:val="00BC598A"/>
    <w:rsid w:val="00BC646D"/>
    <w:rsid w:val="00BD3394"/>
    <w:rsid w:val="00BD608B"/>
    <w:rsid w:val="00BD6AA6"/>
    <w:rsid w:val="00BD7A54"/>
    <w:rsid w:val="00BE7B8C"/>
    <w:rsid w:val="00C138BE"/>
    <w:rsid w:val="00C177D1"/>
    <w:rsid w:val="00C2471B"/>
    <w:rsid w:val="00C2664D"/>
    <w:rsid w:val="00C40CDA"/>
    <w:rsid w:val="00C418BE"/>
    <w:rsid w:val="00C47DE8"/>
    <w:rsid w:val="00C51343"/>
    <w:rsid w:val="00C57968"/>
    <w:rsid w:val="00C639A7"/>
    <w:rsid w:val="00C63DD2"/>
    <w:rsid w:val="00C72906"/>
    <w:rsid w:val="00C7631D"/>
    <w:rsid w:val="00C8376D"/>
    <w:rsid w:val="00C87BF7"/>
    <w:rsid w:val="00CA39D4"/>
    <w:rsid w:val="00CA7D60"/>
    <w:rsid w:val="00CB0552"/>
    <w:rsid w:val="00CC088A"/>
    <w:rsid w:val="00CC3FD0"/>
    <w:rsid w:val="00CC4F06"/>
    <w:rsid w:val="00CC5D1A"/>
    <w:rsid w:val="00CD632A"/>
    <w:rsid w:val="00CD67BA"/>
    <w:rsid w:val="00CE6DF7"/>
    <w:rsid w:val="00D12FFA"/>
    <w:rsid w:val="00D21B77"/>
    <w:rsid w:val="00D24C36"/>
    <w:rsid w:val="00D30695"/>
    <w:rsid w:val="00D341FE"/>
    <w:rsid w:val="00D42F16"/>
    <w:rsid w:val="00D43EE8"/>
    <w:rsid w:val="00D44E68"/>
    <w:rsid w:val="00D45FD2"/>
    <w:rsid w:val="00D60A6E"/>
    <w:rsid w:val="00D62F7E"/>
    <w:rsid w:val="00D661CA"/>
    <w:rsid w:val="00D74466"/>
    <w:rsid w:val="00D74A33"/>
    <w:rsid w:val="00D803D3"/>
    <w:rsid w:val="00D911DA"/>
    <w:rsid w:val="00D93167"/>
    <w:rsid w:val="00D96DBC"/>
    <w:rsid w:val="00DC4B35"/>
    <w:rsid w:val="00DC6BB3"/>
    <w:rsid w:val="00DE0362"/>
    <w:rsid w:val="00DE3807"/>
    <w:rsid w:val="00DE643D"/>
    <w:rsid w:val="00E00CA3"/>
    <w:rsid w:val="00E061A2"/>
    <w:rsid w:val="00E14F4E"/>
    <w:rsid w:val="00E15700"/>
    <w:rsid w:val="00E16238"/>
    <w:rsid w:val="00E2146C"/>
    <w:rsid w:val="00E37F0E"/>
    <w:rsid w:val="00E44061"/>
    <w:rsid w:val="00E50E78"/>
    <w:rsid w:val="00E76687"/>
    <w:rsid w:val="00E80202"/>
    <w:rsid w:val="00E824C1"/>
    <w:rsid w:val="00E949DF"/>
    <w:rsid w:val="00E95ED1"/>
    <w:rsid w:val="00EA051F"/>
    <w:rsid w:val="00EC7893"/>
    <w:rsid w:val="00EF0EF8"/>
    <w:rsid w:val="00EF56F4"/>
    <w:rsid w:val="00EF738D"/>
    <w:rsid w:val="00F015D1"/>
    <w:rsid w:val="00F04022"/>
    <w:rsid w:val="00F07720"/>
    <w:rsid w:val="00F116E7"/>
    <w:rsid w:val="00F16645"/>
    <w:rsid w:val="00F35BC9"/>
    <w:rsid w:val="00F44C95"/>
    <w:rsid w:val="00F44F4F"/>
    <w:rsid w:val="00F5248F"/>
    <w:rsid w:val="00F61CE9"/>
    <w:rsid w:val="00F64C50"/>
    <w:rsid w:val="00F7060F"/>
    <w:rsid w:val="00F972C7"/>
    <w:rsid w:val="00FA2653"/>
    <w:rsid w:val="00FA539C"/>
    <w:rsid w:val="00FA5DC7"/>
    <w:rsid w:val="00FA5DF6"/>
    <w:rsid w:val="00FA675E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B3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39"/>
    <w:locked/>
    <w:rsid w:val="00D6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semiHidden/>
    <w:unhideWhenUsed/>
    <w:rsid w:val="00D62F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2F7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39"/>
    <w:locked/>
    <w:rsid w:val="00D6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semiHidden/>
    <w:unhideWhenUsed/>
    <w:rsid w:val="00D62F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2F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055FD-B3AE-4E6D-88CA-4B8F6ECC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Jurgita Jurkonyte</cp:lastModifiedBy>
  <cp:revision>2</cp:revision>
  <cp:lastPrinted>2017-04-12T13:21:00Z</cp:lastPrinted>
  <dcterms:created xsi:type="dcterms:W3CDTF">2017-04-19T06:27:00Z</dcterms:created>
  <dcterms:modified xsi:type="dcterms:W3CDTF">2017-04-19T06:27:00Z</dcterms:modified>
</cp:coreProperties>
</file>